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4" w:rsidRPr="003C497E" w:rsidRDefault="00C24E94" w:rsidP="00C24E9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ΠΡΟΥΠΟΛΟΓΙΣΜΟΣ ΠΡΟΣΦΟΡΑΣ</w:t>
      </w:r>
    </w:p>
    <w:p w:rsidR="00C24E94" w:rsidRPr="003C497E" w:rsidRDefault="00C24E94" w:rsidP="00C24E94">
      <w:pPr>
        <w:rPr>
          <w:rFonts w:asciiTheme="minorHAnsi" w:hAnsiTheme="minorHAnsi"/>
          <w:sz w:val="20"/>
          <w:szCs w:val="20"/>
        </w:rPr>
      </w:pPr>
      <w:r w:rsidRPr="003C497E">
        <w:rPr>
          <w:rFonts w:asciiTheme="minorHAnsi" w:hAnsiTheme="minorHAnsi"/>
          <w:sz w:val="20"/>
          <w:szCs w:val="20"/>
        </w:rPr>
        <w:t xml:space="preserve">Πιο συγκεκριμένα, ο υποψήφιος ανάδοχος πρέπει να εκτελέσει τις παρακάτω υπηρεσίες: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1699"/>
        <w:gridCol w:w="1275"/>
        <w:gridCol w:w="1092"/>
        <w:gridCol w:w="1656"/>
      </w:tblGrid>
      <w:tr w:rsidR="00C24E94" w:rsidTr="00664421">
        <w:tc>
          <w:tcPr>
            <w:tcW w:w="2802" w:type="dxa"/>
            <w:shd w:val="clear" w:color="auto" w:fill="D9D9D9" w:themeFill="background1" w:themeFillShade="D9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ΠΕΡΙΓΡΑΦΗ ΥΠΗΡΕΣΙΩΝ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ΜΟΝ. ΜΕΤΡ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ΠΟΣΟΤΗΤΑ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ΤΙΜΗ ΜΟΝΑΔΑΣ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ΔΑΠΑΝΗ</w:t>
            </w:r>
          </w:p>
        </w:tc>
      </w:tr>
      <w:tr w:rsidR="00C24E94" w:rsidTr="00664421">
        <w:tc>
          <w:tcPr>
            <w:tcW w:w="2802" w:type="dxa"/>
          </w:tcPr>
          <w:p w:rsidR="00C24E94" w:rsidRPr="00713502" w:rsidRDefault="00C24E94" w:rsidP="00664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Καταγραφή της ηλεκτρολογικής και μηχανολογικής εγκατάστασης των αντλιοστασίων της αποχέτευσης και αντλιοστασίων ύδρευσης που παρο</w:t>
            </w:r>
            <w:r>
              <w:rPr>
                <w:rFonts w:asciiTheme="minorHAnsi" w:hAnsiTheme="minorHAnsi"/>
                <w:sz w:val="16"/>
                <w:szCs w:val="16"/>
              </w:rPr>
              <w:t>υ</w:t>
            </w:r>
            <w:r>
              <w:rPr>
                <w:rFonts w:asciiTheme="minorHAnsi" w:hAnsiTheme="minorHAnsi"/>
                <w:sz w:val="16"/>
                <w:szCs w:val="16"/>
              </w:rPr>
              <w:t>σιάζουν συχνότητα βλαβών, παρατ</w:t>
            </w:r>
            <w:r>
              <w:rPr>
                <w:rFonts w:asciiTheme="minorHAnsi" w:hAnsiTheme="minorHAnsi"/>
                <w:sz w:val="16"/>
                <w:szCs w:val="16"/>
              </w:rPr>
              <w:t>η</w:t>
            </w:r>
            <w:r>
              <w:rPr>
                <w:rFonts w:asciiTheme="minorHAnsi" w:hAnsiTheme="minorHAnsi"/>
                <w:sz w:val="16"/>
                <w:szCs w:val="16"/>
              </w:rPr>
              <w:t>ρείται υπερβολική κατανάλωση ενέ</w:t>
            </w:r>
            <w:r>
              <w:rPr>
                <w:rFonts w:asciiTheme="minorHAnsi" w:hAnsiTheme="minorHAnsi"/>
                <w:sz w:val="16"/>
                <w:szCs w:val="16"/>
              </w:rPr>
              <w:t>ρ</w:t>
            </w:r>
            <w:r>
              <w:rPr>
                <w:rFonts w:asciiTheme="minorHAnsi" w:hAnsiTheme="minorHAnsi"/>
                <w:sz w:val="16"/>
                <w:szCs w:val="16"/>
              </w:rPr>
              <w:t>γειας, κλπ Προτάσεις βελτίωσης απόδοσης, εξοικονόμησης ενέργειας, ασφαλούς και απρόσκοπτης λειτουργ</w:t>
            </w:r>
            <w:r>
              <w:rPr>
                <w:rFonts w:asciiTheme="minorHAnsi" w:hAnsiTheme="minorHAnsi"/>
                <w:sz w:val="16"/>
                <w:szCs w:val="16"/>
              </w:rPr>
              <w:t>ί</w:t>
            </w:r>
            <w:r>
              <w:rPr>
                <w:rFonts w:asciiTheme="minorHAnsi" w:hAnsiTheme="minorHAnsi"/>
                <w:sz w:val="16"/>
                <w:szCs w:val="16"/>
              </w:rPr>
              <w:t>ας. Συνολικά 36 αντλιοστάσια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Κατ’ αποκοπή</w:t>
            </w:r>
          </w:p>
        </w:tc>
        <w:tc>
          <w:tcPr>
            <w:tcW w:w="1275" w:type="dxa"/>
          </w:tcPr>
          <w:p w:rsidR="00C24E94" w:rsidRPr="00547FD6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547FD6">
              <w:rPr>
                <w:rFonts w:asciiTheme="minorHAnsi" w:hAnsiTheme="minorHAnsi"/>
              </w:rPr>
              <w:t>1</w:t>
            </w:r>
          </w:p>
        </w:tc>
        <w:tc>
          <w:tcPr>
            <w:tcW w:w="1092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Pr="00713502" w:rsidRDefault="00C24E94" w:rsidP="00664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Κατάρτιση προγράμματος προληπτικής συντήρησης ηλεκτρομηχανολογικού εξοπλισμού, οργάνωση, παρακολο</w:t>
            </w:r>
            <w:r>
              <w:rPr>
                <w:rFonts w:asciiTheme="minorHAnsi" w:hAnsiTheme="minorHAnsi"/>
                <w:sz w:val="16"/>
                <w:szCs w:val="16"/>
              </w:rPr>
              <w:t>ύ</w:t>
            </w:r>
            <w:r>
              <w:rPr>
                <w:rFonts w:asciiTheme="minorHAnsi" w:hAnsiTheme="minorHAnsi"/>
                <w:sz w:val="16"/>
                <w:szCs w:val="16"/>
              </w:rPr>
              <w:t>θηση συντήρησης και καταγραφή υλικών, κλπ στην αντίστοιχη καρτέλα μηχανήματος</w:t>
            </w:r>
            <w:r w:rsidRPr="0071350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Κατ’ αποκοπή</w:t>
            </w:r>
          </w:p>
        </w:tc>
        <w:tc>
          <w:tcPr>
            <w:tcW w:w="1275" w:type="dxa"/>
          </w:tcPr>
          <w:p w:rsidR="00C24E94" w:rsidRPr="00547FD6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547FD6">
              <w:rPr>
                <w:rFonts w:asciiTheme="minorHAnsi" w:hAnsiTheme="minorHAnsi"/>
              </w:rPr>
              <w:t>1</w:t>
            </w:r>
          </w:p>
        </w:tc>
        <w:tc>
          <w:tcPr>
            <w:tcW w:w="1092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Pr="003E3FE1" w:rsidRDefault="00C24E94" w:rsidP="00664421">
            <w:pPr>
              <w:rPr>
                <w:rFonts w:asciiTheme="minorHAnsi" w:hAnsiTheme="minorHAnsi"/>
                <w:sz w:val="16"/>
                <w:szCs w:val="16"/>
              </w:rPr>
            </w:pPr>
            <w:r w:rsidRPr="003E3FE1">
              <w:rPr>
                <w:rFonts w:asciiTheme="minorHAnsi" w:hAnsiTheme="minorHAnsi"/>
                <w:sz w:val="16"/>
                <w:szCs w:val="16"/>
              </w:rPr>
              <w:t>Α. σύνταξη μελέτης για την ηλεκτρολ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ο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γική σύζευξη του Η/Ζ της ΕΕΛ με άλλες μονάδες και επεμβάσεις στους αντ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ί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 xml:space="preserve">στοιχους ηλεκτρολογικούς πίνακες, Β. διερεύνηση, έλεγχος προδιαγραφών για την προμήθεια «έξυπνων </w:t>
            </w:r>
            <w:proofErr w:type="spellStart"/>
            <w:r w:rsidRPr="003E3FE1">
              <w:rPr>
                <w:rFonts w:asciiTheme="minorHAnsi" w:hAnsiTheme="minorHAnsi"/>
                <w:sz w:val="16"/>
                <w:szCs w:val="16"/>
              </w:rPr>
              <w:t>υδρομ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έ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τρων</w:t>
            </w:r>
            <w:proofErr w:type="spellEnd"/>
            <w:r w:rsidRPr="003E3FE1">
              <w:rPr>
                <w:rFonts w:asciiTheme="minorHAnsi" w:hAnsiTheme="minorHAnsi"/>
                <w:sz w:val="16"/>
                <w:szCs w:val="16"/>
              </w:rPr>
              <w:t>» και αξιολόγησης τεχνικών πρ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ο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σφορών, Γ αξιολόγηση προτάσεων εγκατάστασης μονάδων παραγωγής ενέργειας (π.χ. Φ/Β πάρκων), Δ δι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ε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ρεύνηση, έλεγχος προδιαγραφών για την προμήθεια και εγκατάσταση αυτ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ο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ματισμών για την παρακολούθηση της λειτουργίας των αντλιοστασίων αποχ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έ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τευσης (</w:t>
            </w:r>
            <w:proofErr w:type="spellStart"/>
            <w:r w:rsidRPr="003E3FE1">
              <w:rPr>
                <w:rFonts w:asciiTheme="minorHAnsi" w:hAnsiTheme="minorHAnsi"/>
                <w:sz w:val="16"/>
                <w:szCs w:val="16"/>
              </w:rPr>
              <w:t>τηλεέλεγχος</w:t>
            </w:r>
            <w:proofErr w:type="spellEnd"/>
            <w:r w:rsidRPr="003E3FE1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Κατ’ αποκοπή</w:t>
            </w:r>
          </w:p>
        </w:tc>
        <w:tc>
          <w:tcPr>
            <w:tcW w:w="1275" w:type="dxa"/>
          </w:tcPr>
          <w:p w:rsidR="00C24E94" w:rsidRPr="00547FD6" w:rsidRDefault="00C24E94" w:rsidP="00664421">
            <w:pPr>
              <w:jc w:val="center"/>
              <w:rPr>
                <w:rFonts w:asciiTheme="minorHAnsi" w:hAnsiTheme="minorHAnsi"/>
              </w:rPr>
            </w:pPr>
            <w:r w:rsidRPr="00547FD6">
              <w:rPr>
                <w:rFonts w:asciiTheme="minorHAnsi" w:hAnsiTheme="minorHAnsi"/>
              </w:rPr>
              <w:t>1</w:t>
            </w:r>
          </w:p>
        </w:tc>
        <w:tc>
          <w:tcPr>
            <w:tcW w:w="1092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Pr="00A55A57" w:rsidRDefault="00C24E94" w:rsidP="00664421">
            <w:pPr>
              <w:rPr>
                <w:rFonts w:asciiTheme="minorHAnsi" w:hAnsiTheme="minorHAnsi"/>
                <w:sz w:val="16"/>
                <w:szCs w:val="16"/>
              </w:rPr>
            </w:pPr>
            <w:r w:rsidRPr="003E3FE1">
              <w:rPr>
                <w:rFonts w:asciiTheme="minorHAnsi" w:hAnsiTheme="minorHAnsi"/>
                <w:sz w:val="16"/>
                <w:szCs w:val="16"/>
              </w:rPr>
              <w:t>Κοστολόγηση βλαβών ηλεκτρομηχαν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ο</w:t>
            </w:r>
            <w:r w:rsidRPr="003E3FE1">
              <w:rPr>
                <w:rFonts w:asciiTheme="minorHAnsi" w:hAnsiTheme="minorHAnsi"/>
                <w:sz w:val="16"/>
                <w:szCs w:val="16"/>
              </w:rPr>
              <w:t>λογικού εξοπλισμού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αξιολόγηση προσφορών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Τεμάχιο</w:t>
            </w:r>
          </w:p>
        </w:tc>
        <w:tc>
          <w:tcPr>
            <w:tcW w:w="1275" w:type="dxa"/>
          </w:tcPr>
          <w:p w:rsidR="00C24E94" w:rsidRPr="00547FD6" w:rsidRDefault="00C24E94" w:rsidP="006644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092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Σύνολο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09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ΦΠΑ 24</w:t>
            </w:r>
            <w:r w:rsidRPr="003C497E">
              <w:rPr>
                <w:rFonts w:asciiTheme="minorHAnsi" w:hAnsiTheme="minorHAnsi"/>
              </w:rPr>
              <w:t>%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09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  <w:tr w:rsidR="00C24E94" w:rsidTr="00664421">
        <w:tc>
          <w:tcPr>
            <w:tcW w:w="280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  <w:r w:rsidRPr="003C497E">
              <w:rPr>
                <w:rFonts w:asciiTheme="minorHAnsi" w:hAnsiTheme="minorHAnsi"/>
              </w:rPr>
              <w:t>Γενικό Σύνολο</w:t>
            </w:r>
          </w:p>
        </w:tc>
        <w:tc>
          <w:tcPr>
            <w:tcW w:w="1701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092" w:type="dxa"/>
          </w:tcPr>
          <w:p w:rsidR="00C24E94" w:rsidRDefault="00C24E94" w:rsidP="00664421">
            <w:pPr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C24E94" w:rsidRDefault="00C24E94" w:rsidP="0066442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24E94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C24E94" w:rsidRPr="009E29C1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  <w:r w:rsidRPr="009E29C1">
        <w:rPr>
          <w:rFonts w:asciiTheme="minorHAnsi" w:hAnsiTheme="minorHAnsi" w:cstheme="minorHAnsi"/>
          <w:b/>
          <w:iCs/>
          <w:position w:val="6"/>
        </w:rPr>
        <w:t>Σπάρτη</w:t>
      </w:r>
    </w:p>
    <w:p w:rsidR="00C24E94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C24E94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  <w:r w:rsidRPr="009E29C1">
        <w:rPr>
          <w:rFonts w:asciiTheme="minorHAnsi" w:hAnsiTheme="minorHAnsi" w:cstheme="minorHAnsi"/>
          <w:b/>
          <w:iCs/>
          <w:position w:val="6"/>
        </w:rPr>
        <w:t>Ο Προσφέρων</w:t>
      </w:r>
    </w:p>
    <w:p w:rsidR="00C24E94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C24E94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C24E94" w:rsidRPr="009E29C1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  <w:r>
        <w:rPr>
          <w:rFonts w:asciiTheme="minorHAnsi" w:hAnsiTheme="minorHAnsi" w:cstheme="minorHAnsi"/>
          <w:b/>
          <w:iCs/>
          <w:position w:val="6"/>
        </w:rPr>
        <w:t>……………………………..</w:t>
      </w:r>
      <w:bookmarkStart w:id="0" w:name="_GoBack"/>
      <w:bookmarkEnd w:id="0"/>
    </w:p>
    <w:p w:rsidR="00C24E94" w:rsidRPr="009E29C1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C24E94" w:rsidRPr="009E29C1" w:rsidRDefault="00C24E94" w:rsidP="00C24E94">
      <w:pPr>
        <w:spacing w:line="260" w:lineRule="atLeast"/>
        <w:jc w:val="center"/>
        <w:rPr>
          <w:rFonts w:asciiTheme="minorHAnsi" w:hAnsiTheme="minorHAnsi" w:cstheme="minorHAnsi"/>
          <w:b/>
          <w:iCs/>
          <w:position w:val="6"/>
        </w:rPr>
      </w:pPr>
    </w:p>
    <w:p w:rsidR="00E351AB" w:rsidRDefault="00E351AB"/>
    <w:sectPr w:rsidR="00E35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94"/>
    <w:rsid w:val="00C24E94"/>
    <w:rsid w:val="00E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4"/>
    <w:pPr>
      <w:spacing w:after="0" w:line="288" w:lineRule="auto"/>
      <w:jc w:val="both"/>
    </w:pPr>
    <w:rPr>
      <w:rFonts w:ascii="Tahoma" w:eastAsia="Times New Roman" w:hAnsi="Tahoma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4"/>
    <w:pPr>
      <w:spacing w:after="0" w:line="288" w:lineRule="auto"/>
      <w:jc w:val="both"/>
    </w:pPr>
    <w:rPr>
      <w:rFonts w:ascii="Tahoma" w:eastAsia="Times New Roman" w:hAnsi="Tahoma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2020-05-21T10:23:00Z</dcterms:created>
  <dcterms:modified xsi:type="dcterms:W3CDTF">2020-05-21T10:24:00Z</dcterms:modified>
</cp:coreProperties>
</file>